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A3" w:rsidRPr="00254DA3" w:rsidRDefault="00254DA3" w:rsidP="00254DA3">
      <w:pPr>
        <w:widowControl/>
        <w:jc w:val="center"/>
        <w:rPr>
          <w:rFonts w:ascii="Calibri" w:eastAsia="新細明體" w:hAnsi="Calibri" w:cs="Calibri"/>
          <w:color w:val="000000"/>
          <w:kern w:val="0"/>
          <w:szCs w:val="24"/>
        </w:rPr>
      </w:pPr>
      <w:bookmarkStart w:id="0" w:name="_GoBack"/>
      <w:r w:rsidRPr="00254DA3">
        <w:rPr>
          <w:rFonts w:ascii="微軟正黑體" w:eastAsia="微軟正黑體" w:hAnsi="微軟正黑體" w:cs="Calibri" w:hint="eastAsia"/>
          <w:color w:val="000000"/>
          <w:kern w:val="0"/>
          <w:sz w:val="23"/>
          <w:szCs w:val="23"/>
        </w:rPr>
        <w:t>「資訊科學教學法」</w:t>
      </w:r>
      <w:r w:rsidRPr="00254DA3">
        <w:rPr>
          <w:rFonts w:ascii="標楷體" w:eastAsia="標楷體" w:hAnsi="標楷體" w:cs="Calibri" w:hint="eastAsia"/>
          <w:color w:val="FF0000"/>
          <w:kern w:val="0"/>
          <w:sz w:val="27"/>
          <w:szCs w:val="27"/>
        </w:rPr>
        <w:t>大綱</w:t>
      </w:r>
    </w:p>
    <w:bookmarkEnd w:id="0"/>
    <w:p w:rsidR="00254DA3" w:rsidRPr="00254DA3" w:rsidRDefault="00254DA3" w:rsidP="00254DA3">
      <w:pPr>
        <w:widowControl/>
        <w:rPr>
          <w:rFonts w:ascii="Calibri" w:eastAsia="新細明體" w:hAnsi="Calibri" w:cs="Calibri"/>
          <w:color w:val="000000"/>
          <w:kern w:val="0"/>
          <w:szCs w:val="24"/>
        </w:rPr>
      </w:pPr>
      <w:r w:rsidRPr="00254DA3">
        <w:rPr>
          <w:rFonts w:ascii="標楷體" w:eastAsia="標楷體" w:hAnsi="標楷體" w:cs="Calibri" w:hint="eastAsia"/>
          <w:color w:val="FF0000"/>
          <w:kern w:val="0"/>
          <w:sz w:val="27"/>
          <w:szCs w:val="27"/>
        </w:rPr>
        <w:t>教學大綱</w:t>
      </w:r>
    </w:p>
    <w:p w:rsidR="00254DA3" w:rsidRPr="00254DA3" w:rsidRDefault="00254DA3" w:rsidP="00254DA3">
      <w:pPr>
        <w:widowControl/>
        <w:ind w:left="480"/>
        <w:rPr>
          <w:rFonts w:ascii="Calibri" w:eastAsia="新細明體" w:hAnsi="Calibri" w:cs="Calibri"/>
          <w:color w:val="000000"/>
          <w:kern w:val="0"/>
          <w:szCs w:val="24"/>
        </w:rPr>
      </w:pPr>
      <w:r w:rsidRPr="00254DA3">
        <w:rPr>
          <w:rFonts w:ascii="Wingdings" w:eastAsia="新細明體" w:hAnsi="Wingdings" w:cs="Calibri"/>
          <w:color w:val="000000"/>
          <w:kern w:val="0"/>
          <w:szCs w:val="24"/>
        </w:rPr>
        <w:t></w:t>
      </w:r>
      <w:r w:rsidRPr="00254DA3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254DA3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資訊教育發展沿革</w:t>
      </w:r>
    </w:p>
    <w:p w:rsidR="00254DA3" w:rsidRPr="00254DA3" w:rsidRDefault="00254DA3" w:rsidP="00254DA3">
      <w:pPr>
        <w:widowControl/>
        <w:ind w:left="480"/>
        <w:rPr>
          <w:rFonts w:ascii="Calibri" w:eastAsia="新細明體" w:hAnsi="Calibri" w:cs="Calibri"/>
          <w:color w:val="000000"/>
          <w:kern w:val="0"/>
          <w:szCs w:val="24"/>
        </w:rPr>
      </w:pPr>
      <w:r w:rsidRPr="00254DA3">
        <w:rPr>
          <w:rFonts w:ascii="Wingdings" w:eastAsia="新細明體" w:hAnsi="Wingdings" w:cs="Calibri"/>
          <w:color w:val="000000"/>
          <w:kern w:val="0"/>
          <w:sz w:val="27"/>
          <w:szCs w:val="27"/>
        </w:rPr>
        <w:t></w:t>
      </w:r>
      <w:r w:rsidRPr="00254DA3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</w:t>
      </w:r>
      <w:r w:rsidRPr="00254DA3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資訊科技教學法</w:t>
      </w:r>
    </w:p>
    <w:p w:rsidR="00254DA3" w:rsidRPr="00254DA3" w:rsidRDefault="00254DA3" w:rsidP="00254DA3">
      <w:pPr>
        <w:widowControl/>
        <w:ind w:left="480"/>
        <w:rPr>
          <w:rFonts w:ascii="Calibri" w:eastAsia="新細明體" w:hAnsi="Calibri" w:cs="Calibri"/>
          <w:color w:val="000000"/>
          <w:kern w:val="0"/>
          <w:szCs w:val="24"/>
        </w:rPr>
      </w:pPr>
      <w:r w:rsidRPr="00254DA3">
        <w:rPr>
          <w:rFonts w:ascii="Wingdings" w:eastAsia="新細明體" w:hAnsi="Wingdings" w:cs="Calibri"/>
          <w:color w:val="000000"/>
          <w:kern w:val="0"/>
          <w:sz w:val="27"/>
          <w:szCs w:val="27"/>
        </w:rPr>
        <w:t></w:t>
      </w:r>
      <w:r w:rsidRPr="00254DA3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</w:t>
      </w:r>
      <w:r w:rsidRPr="00254DA3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教與學策略</w:t>
      </w:r>
      <w:r w:rsidRPr="00254DA3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254DA3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模式</w:t>
      </w:r>
    </w:p>
    <w:p w:rsidR="00254DA3" w:rsidRPr="00254DA3" w:rsidRDefault="00254DA3" w:rsidP="00254DA3">
      <w:pPr>
        <w:widowControl/>
        <w:ind w:left="480"/>
        <w:rPr>
          <w:rFonts w:ascii="Calibri" w:eastAsia="新細明體" w:hAnsi="Calibri" w:cs="Calibri"/>
          <w:color w:val="000000"/>
          <w:kern w:val="0"/>
          <w:szCs w:val="24"/>
        </w:rPr>
      </w:pPr>
      <w:r w:rsidRPr="00254DA3">
        <w:rPr>
          <w:rFonts w:ascii="Wingdings" w:eastAsia="新細明體" w:hAnsi="Wingdings" w:cs="Calibri"/>
          <w:color w:val="000000"/>
          <w:kern w:val="0"/>
          <w:sz w:val="27"/>
          <w:szCs w:val="27"/>
        </w:rPr>
        <w:t></w:t>
      </w:r>
      <w:r w:rsidRPr="00254DA3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</w:t>
      </w:r>
      <w:r w:rsidRPr="00254DA3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運算思維教育、</w:t>
      </w:r>
      <w:r w:rsidRPr="00254DA3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STEAM</w:t>
      </w:r>
      <w:r w:rsidRPr="00254DA3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教育</w:t>
      </w:r>
    </w:p>
    <w:p w:rsidR="00254DA3" w:rsidRPr="00254DA3" w:rsidRDefault="00254DA3" w:rsidP="00254DA3">
      <w:pPr>
        <w:widowControl/>
        <w:ind w:left="480"/>
        <w:rPr>
          <w:rFonts w:ascii="Calibri" w:eastAsia="新細明體" w:hAnsi="Calibri" w:cs="Calibri"/>
          <w:color w:val="000000"/>
          <w:kern w:val="0"/>
          <w:szCs w:val="24"/>
        </w:rPr>
      </w:pPr>
      <w:r w:rsidRPr="00254DA3">
        <w:rPr>
          <w:rFonts w:ascii="Wingdings" w:eastAsia="新細明體" w:hAnsi="Wingdings" w:cs="Calibri"/>
          <w:color w:val="000000"/>
          <w:kern w:val="0"/>
          <w:sz w:val="27"/>
          <w:szCs w:val="27"/>
        </w:rPr>
        <w:t></w:t>
      </w:r>
      <w:r w:rsidRPr="00254DA3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</w:t>
      </w:r>
      <w:r w:rsidRPr="00254DA3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程式迷思概念、程式教與學策略</w:t>
      </w:r>
      <w:r w:rsidRPr="00254DA3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254DA3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模式</w:t>
      </w:r>
    </w:p>
    <w:p w:rsidR="00254DA3" w:rsidRPr="00254DA3" w:rsidRDefault="00254DA3" w:rsidP="00254DA3">
      <w:pPr>
        <w:widowControl/>
        <w:ind w:left="480"/>
        <w:rPr>
          <w:rFonts w:ascii="Calibri" w:eastAsia="新細明體" w:hAnsi="Calibri" w:cs="Calibri"/>
          <w:color w:val="000000"/>
          <w:kern w:val="0"/>
          <w:szCs w:val="24"/>
        </w:rPr>
      </w:pPr>
      <w:r w:rsidRPr="00254DA3">
        <w:rPr>
          <w:rFonts w:ascii="Wingdings" w:eastAsia="新細明體" w:hAnsi="Wingdings" w:cs="Calibri"/>
          <w:color w:val="000000"/>
          <w:kern w:val="0"/>
          <w:szCs w:val="24"/>
        </w:rPr>
        <w:t></w:t>
      </w:r>
      <w:r w:rsidRPr="00254DA3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254DA3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程式設計解題模式</w:t>
      </w:r>
      <w:r w:rsidRPr="00254DA3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: from brute force to optimal</w:t>
      </w:r>
    </w:p>
    <w:p w:rsidR="00254DA3" w:rsidRPr="00254DA3" w:rsidRDefault="00254DA3" w:rsidP="00254DA3">
      <w:pPr>
        <w:widowControl/>
        <w:ind w:left="480"/>
        <w:rPr>
          <w:rFonts w:ascii="Calibri" w:eastAsia="新細明體" w:hAnsi="Calibri" w:cs="Calibri"/>
          <w:color w:val="000000"/>
          <w:kern w:val="0"/>
          <w:szCs w:val="24"/>
        </w:rPr>
      </w:pPr>
      <w:r w:rsidRPr="00254DA3">
        <w:rPr>
          <w:rFonts w:ascii="Wingdings" w:eastAsia="新細明體" w:hAnsi="Wingdings" w:cs="Calibri"/>
          <w:color w:val="000000"/>
          <w:kern w:val="0"/>
          <w:szCs w:val="24"/>
        </w:rPr>
        <w:t></w:t>
      </w:r>
      <w:r w:rsidRPr="00254DA3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254DA3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視覺化程式設計之教學設計</w:t>
      </w:r>
    </w:p>
    <w:p w:rsidR="00254DA3" w:rsidRPr="00254DA3" w:rsidRDefault="00254DA3" w:rsidP="00254DA3">
      <w:pPr>
        <w:widowControl/>
        <w:rPr>
          <w:rFonts w:ascii="Calibri" w:eastAsia="新細明體" w:hAnsi="Calibri" w:cs="Calibri"/>
          <w:color w:val="000000"/>
          <w:kern w:val="0"/>
          <w:szCs w:val="24"/>
        </w:rPr>
      </w:pPr>
      <w:r w:rsidRPr="00254DA3">
        <w:rPr>
          <w:rFonts w:ascii="標楷體" w:eastAsia="標楷體" w:hAnsi="標楷體" w:cs="Calibri" w:hint="eastAsia"/>
          <w:color w:val="FF0000"/>
          <w:kern w:val="0"/>
          <w:sz w:val="27"/>
          <w:szCs w:val="27"/>
        </w:rPr>
        <w:t>評量方式</w:t>
      </w:r>
    </w:p>
    <w:p w:rsidR="00254DA3" w:rsidRPr="00254DA3" w:rsidRDefault="00254DA3" w:rsidP="00254DA3">
      <w:pPr>
        <w:widowControl/>
        <w:rPr>
          <w:rFonts w:ascii="Calibri" w:eastAsia="新細明體" w:hAnsi="Calibri" w:cs="Calibri"/>
          <w:color w:val="000000"/>
          <w:kern w:val="0"/>
          <w:szCs w:val="24"/>
        </w:rPr>
      </w:pPr>
      <w:r w:rsidRPr="00254DA3">
        <w:rPr>
          <w:rFonts w:ascii="Times New Roman" w:eastAsia="新細明體" w:hAnsi="Times New Roman" w:cs="Times New Roman"/>
          <w:color w:val="000000"/>
          <w:kern w:val="0"/>
          <w:szCs w:val="24"/>
        </w:rPr>
        <w:t>   </w:t>
      </w:r>
      <w:r w:rsidRPr="00254DA3">
        <w:rPr>
          <w:rFonts w:ascii="標楷體" w:eastAsia="標楷體" w:hAnsi="標楷體" w:cs="Calibri" w:hint="eastAsia"/>
          <w:color w:val="000000"/>
          <w:kern w:val="0"/>
          <w:szCs w:val="24"/>
        </w:rPr>
        <w:t>互動(含問卷)與討論</w:t>
      </w:r>
      <w:r w:rsidRPr="00254DA3">
        <w:rPr>
          <w:rFonts w:ascii="Times New Roman" w:eastAsia="新細明體" w:hAnsi="Times New Roman" w:cs="Times New Roman"/>
          <w:color w:val="000000"/>
          <w:kern w:val="0"/>
          <w:szCs w:val="24"/>
        </w:rPr>
        <w:t>25%</w:t>
      </w:r>
      <w:r w:rsidRPr="00254DA3">
        <w:rPr>
          <w:rFonts w:ascii="標楷體" w:eastAsia="標楷體" w:hAnsi="標楷體" w:cs="Calibri" w:hint="eastAsia"/>
          <w:color w:val="000000"/>
          <w:kern w:val="0"/>
          <w:szCs w:val="24"/>
        </w:rPr>
        <w:t>、</w:t>
      </w:r>
      <w:r w:rsidRPr="00254DA3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程式設計解題與教學設計作業</w:t>
      </w:r>
      <w:r w:rsidRPr="00254DA3">
        <w:rPr>
          <w:rFonts w:ascii="Times New Roman" w:eastAsia="新細明體" w:hAnsi="Times New Roman" w:cs="Times New Roman"/>
          <w:color w:val="000000"/>
          <w:kern w:val="0"/>
          <w:szCs w:val="24"/>
        </w:rPr>
        <w:t>70%</w:t>
      </w:r>
      <w:r w:rsidRPr="00254DA3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、出席</w:t>
      </w:r>
      <w:r w:rsidRPr="00254DA3">
        <w:rPr>
          <w:rFonts w:ascii="Times New Roman" w:eastAsia="新細明體" w:hAnsi="Times New Roman" w:cs="Times New Roman"/>
          <w:color w:val="000000"/>
          <w:kern w:val="0"/>
          <w:szCs w:val="24"/>
        </w:rPr>
        <w:t>5%</w:t>
      </w:r>
    </w:p>
    <w:p w:rsidR="00254DA3" w:rsidRPr="00254DA3" w:rsidRDefault="00254DA3"/>
    <w:sectPr w:rsidR="00254DA3" w:rsidRPr="00254D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A3"/>
    <w:rsid w:val="002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38B59-FCC6-431A-8FA3-3D198ED4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4D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nccu_tisec nccu_tisec</dc:creator>
  <cp:keywords/>
  <dc:description/>
  <cp:lastModifiedBy>nccu_tisec nccu_tisec</cp:lastModifiedBy>
  <cp:revision>1</cp:revision>
  <dcterms:created xsi:type="dcterms:W3CDTF">2021-07-13T01:20:00Z</dcterms:created>
  <dcterms:modified xsi:type="dcterms:W3CDTF">2021-07-13T01:21:00Z</dcterms:modified>
</cp:coreProperties>
</file>